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42A" w:rsidRPr="0046442A" w:rsidRDefault="0046442A" w:rsidP="0046442A">
      <w:pPr>
        <w:pStyle w:val="Ttulo2"/>
        <w:rPr>
          <w:rFonts w:ascii="Trebuchet MS" w:hAnsi="Trebuchet MS"/>
          <w:b w:val="0"/>
          <w:color w:val="auto"/>
          <w:sz w:val="16"/>
          <w:szCs w:val="16"/>
        </w:rPr>
      </w:pPr>
      <w:bookmarkStart w:id="0" w:name="_Toc259981384"/>
      <w:bookmarkStart w:id="1" w:name="_Toc259981386"/>
      <w:r w:rsidRPr="0046442A">
        <w:rPr>
          <w:rFonts w:ascii="Trebuchet MS" w:hAnsi="Trebuchet MS"/>
          <w:b w:val="0"/>
          <w:color w:val="auto"/>
          <w:sz w:val="16"/>
          <w:szCs w:val="16"/>
        </w:rPr>
        <w:t>Análisis de la atención a las recomendaciones de los CIEES y los organismos reconocidos por el COPAES a los PE</w:t>
      </w:r>
    </w:p>
    <w:p w:rsidR="0046442A" w:rsidRPr="0046442A" w:rsidRDefault="0046442A" w:rsidP="0046442A">
      <w:pPr>
        <w:spacing w:before="0"/>
        <w:rPr>
          <w:sz w:val="16"/>
          <w:szCs w:val="16"/>
        </w:rPr>
      </w:pPr>
    </w:p>
    <w:p w:rsidR="0046442A" w:rsidRPr="0046442A" w:rsidRDefault="0046442A" w:rsidP="0046442A">
      <w:pPr>
        <w:spacing w:before="0"/>
        <w:ind w:firstLine="0"/>
        <w:rPr>
          <w:sz w:val="16"/>
          <w:szCs w:val="16"/>
        </w:rPr>
      </w:pPr>
      <w:r w:rsidRPr="0046442A">
        <w:rPr>
          <w:sz w:val="16"/>
          <w:szCs w:val="16"/>
        </w:rPr>
        <w:t>En la siguiente tabla se hace un análisis de las recomendaciones de los CIEES y COPAES a los programas educativos. En cada una de las divisiones se  han establecido programas de mejora para los PE que han tomado en cuenta estas recomendaciones. En general se tiene un avance considerable en atención a las mismas, con excepción de las recomendaciones del rubro de Infraestructura instalaciones laboratorio equipo y servicio cuya atención requiere de recursos económicos y son por lo tanto más difíciles de atender.</w:t>
      </w:r>
    </w:p>
    <w:p w:rsidR="0046442A" w:rsidRDefault="0046442A" w:rsidP="0046442A">
      <w:pPr>
        <w:pStyle w:val="Ttulo2"/>
        <w:ind w:left="360"/>
        <w:rPr>
          <w:rFonts w:ascii="Trebuchet MS" w:hAnsi="Trebuchet MS"/>
          <w:b w:val="0"/>
          <w:color w:val="auto"/>
          <w:sz w:val="16"/>
          <w:szCs w:val="16"/>
        </w:rPr>
      </w:pPr>
    </w:p>
    <w:p w:rsidR="0046442A" w:rsidRPr="0046442A" w:rsidRDefault="0046442A" w:rsidP="0046442A">
      <w:pPr>
        <w:pStyle w:val="Ttulo2"/>
        <w:ind w:left="360"/>
        <w:rPr>
          <w:rFonts w:ascii="Trebuchet MS" w:hAnsi="Trebuchet MS"/>
          <w:b w:val="0"/>
          <w:color w:val="auto"/>
          <w:sz w:val="16"/>
          <w:szCs w:val="16"/>
        </w:rPr>
      </w:pPr>
      <w:r w:rsidRPr="0046442A">
        <w:rPr>
          <w:rFonts w:ascii="Trebuchet MS" w:hAnsi="Trebuchet MS"/>
          <w:b w:val="0"/>
          <w:color w:val="auto"/>
          <w:sz w:val="16"/>
          <w:szCs w:val="16"/>
        </w:rPr>
        <w:t>Análisis de la capacidad académica</w:t>
      </w:r>
      <w:bookmarkEnd w:id="0"/>
    </w:p>
    <w:p w:rsidR="0046442A" w:rsidRPr="0046442A" w:rsidRDefault="0046442A" w:rsidP="0046442A">
      <w:pPr>
        <w:pStyle w:val="Ttulo2"/>
        <w:ind w:firstLine="0"/>
        <w:rPr>
          <w:rFonts w:ascii="Trebuchet MS" w:hAnsi="Trebuchet MS"/>
          <w:b w:val="0"/>
          <w:color w:val="auto"/>
          <w:sz w:val="16"/>
          <w:szCs w:val="16"/>
        </w:rPr>
      </w:pPr>
      <w:r w:rsidRPr="0046442A">
        <w:rPr>
          <w:rFonts w:ascii="Trebuchet MS" w:hAnsi="Trebuchet MS"/>
          <w:b w:val="0"/>
          <w:color w:val="auto"/>
          <w:sz w:val="16"/>
          <w:szCs w:val="16"/>
        </w:rPr>
        <w:t xml:space="preserve">En la siguiente tabla se muestra el avance en atención a las recomendación de los organismos acreditadores o evaluadores a los </w:t>
      </w:r>
      <w:proofErr w:type="spellStart"/>
      <w:r w:rsidRPr="0046442A">
        <w:rPr>
          <w:rFonts w:ascii="Trebuchet MS" w:hAnsi="Trebuchet MS"/>
          <w:b w:val="0"/>
          <w:color w:val="auto"/>
          <w:sz w:val="16"/>
          <w:szCs w:val="16"/>
        </w:rPr>
        <w:t>PE’s</w:t>
      </w:r>
      <w:proofErr w:type="spellEnd"/>
      <w:r w:rsidRPr="0046442A">
        <w:rPr>
          <w:rFonts w:ascii="Trebuchet MS" w:hAnsi="Trebuchet MS"/>
          <w:b w:val="0"/>
          <w:color w:val="auto"/>
          <w:sz w:val="16"/>
          <w:szCs w:val="16"/>
        </w:rPr>
        <w:t xml:space="preserve"> en lo que  respecta a la Capacidad Académica. El menor avance se observa en la conducción académico administrativa, misma que se ha visto afectada por la reestructuración académico administrativa institucional; actualmente se están buscando estrategias para atender estas recomendaciones puntuales de la Licenciatura en Médico Cirujano. Otro aspecto que resalta es el de vinculación en el programa de licenciatura de Psicología. </w:t>
      </w:r>
      <w:proofErr w:type="gramStart"/>
      <w:r w:rsidRPr="0046442A">
        <w:rPr>
          <w:rFonts w:ascii="Trebuchet MS" w:hAnsi="Trebuchet MS"/>
          <w:b w:val="0"/>
          <w:color w:val="auto"/>
          <w:sz w:val="16"/>
          <w:szCs w:val="16"/>
        </w:rPr>
        <w:t>Estas</w:t>
      </w:r>
      <w:proofErr w:type="gramEnd"/>
      <w:r w:rsidRPr="0046442A">
        <w:rPr>
          <w:rFonts w:ascii="Trebuchet MS" w:hAnsi="Trebuchet MS"/>
          <w:b w:val="0"/>
          <w:color w:val="auto"/>
          <w:sz w:val="16"/>
          <w:szCs w:val="16"/>
        </w:rPr>
        <w:t xml:space="preserve"> recomendación se está atendiendo mediante la creación de un centro de servicios donde la totalidad de los PE de salud incrementarán su vinculación con el sector social y productivo.</w:t>
      </w:r>
    </w:p>
    <w:p w:rsidR="0046442A" w:rsidRDefault="0046442A" w:rsidP="0046442A">
      <w:pPr>
        <w:pStyle w:val="Ttulo2"/>
        <w:ind w:left="360"/>
        <w:rPr>
          <w:rFonts w:ascii="Trebuchet MS" w:hAnsi="Trebuchet MS"/>
          <w:b w:val="0"/>
          <w:color w:val="auto"/>
          <w:sz w:val="16"/>
          <w:szCs w:val="16"/>
        </w:rPr>
      </w:pPr>
      <w:r w:rsidRPr="0046442A">
        <w:rPr>
          <w:rFonts w:ascii="Trebuchet MS" w:hAnsi="Trebuchet MS"/>
          <w:b w:val="0"/>
          <w:color w:val="auto"/>
          <w:sz w:val="16"/>
          <w:szCs w:val="16"/>
        </w:rPr>
        <w:t xml:space="preserve"> </w:t>
      </w:r>
    </w:p>
    <w:p w:rsidR="0046442A" w:rsidRPr="0046442A" w:rsidRDefault="0046442A" w:rsidP="0046442A">
      <w:pPr>
        <w:pStyle w:val="Ttulo2"/>
        <w:ind w:left="360"/>
        <w:rPr>
          <w:rFonts w:ascii="Trebuchet MS" w:hAnsi="Trebuchet MS"/>
          <w:b w:val="0"/>
          <w:color w:val="auto"/>
          <w:sz w:val="16"/>
          <w:szCs w:val="16"/>
        </w:rPr>
      </w:pPr>
      <w:r w:rsidRPr="0046442A">
        <w:rPr>
          <w:rFonts w:ascii="Trebuchet MS" w:hAnsi="Trebuchet MS"/>
          <w:b w:val="0"/>
          <w:color w:val="auto"/>
          <w:sz w:val="16"/>
          <w:szCs w:val="16"/>
        </w:rPr>
        <w:t>Capacidad académica de la DES</w:t>
      </w:r>
    </w:p>
    <w:p w:rsidR="0046442A" w:rsidRPr="0046442A" w:rsidRDefault="0046442A" w:rsidP="0046442A">
      <w:pPr>
        <w:ind w:firstLine="0"/>
        <w:rPr>
          <w:sz w:val="16"/>
          <w:szCs w:val="16"/>
        </w:rPr>
      </w:pPr>
      <w:r w:rsidRPr="0046442A">
        <w:rPr>
          <w:sz w:val="16"/>
          <w:szCs w:val="16"/>
        </w:rPr>
        <w:t>Como se observa en la Tabla 5, ha habido un incremento sustancial de los PTC aproximadamente de un 70% mismo que ha favorecido los indicadores de la capacidad académica de la DES incrementando en un 300% el número de Profesores con Posgrado, en un 500% de los Profesores con Doctorado y en un 200% el de profesores miembros del S.N.I. Reflejándose en el incremento de nivel de los Cuerpos Académicos.</w:t>
      </w:r>
    </w:p>
    <w:p w:rsidR="0046442A" w:rsidRDefault="0046442A" w:rsidP="0046442A">
      <w:pPr>
        <w:pStyle w:val="Ttulo2"/>
        <w:ind w:left="360"/>
        <w:rPr>
          <w:rFonts w:ascii="Trebuchet MS" w:hAnsi="Trebuchet MS"/>
          <w:b w:val="0"/>
          <w:color w:val="auto"/>
          <w:sz w:val="16"/>
          <w:szCs w:val="16"/>
        </w:rPr>
      </w:pPr>
    </w:p>
    <w:p w:rsidR="0046442A" w:rsidRPr="0046442A" w:rsidRDefault="0046442A" w:rsidP="0046442A">
      <w:pPr>
        <w:pStyle w:val="Ttulo2"/>
        <w:ind w:left="360"/>
        <w:rPr>
          <w:rFonts w:ascii="Trebuchet MS" w:hAnsi="Trebuchet MS"/>
          <w:b w:val="0"/>
          <w:color w:val="auto"/>
          <w:sz w:val="16"/>
          <w:szCs w:val="16"/>
        </w:rPr>
      </w:pPr>
      <w:r w:rsidRPr="0046442A">
        <w:rPr>
          <w:rFonts w:ascii="Trebuchet MS" w:hAnsi="Trebuchet MS"/>
          <w:b w:val="0"/>
          <w:color w:val="auto"/>
          <w:sz w:val="16"/>
          <w:szCs w:val="16"/>
        </w:rPr>
        <w:t>Análisis de la competitividad académica</w:t>
      </w:r>
    </w:p>
    <w:p w:rsidR="0046442A" w:rsidRPr="0046442A" w:rsidRDefault="0046442A" w:rsidP="0046442A">
      <w:pPr>
        <w:ind w:firstLine="0"/>
        <w:rPr>
          <w:rFonts w:eastAsiaTheme="majorEastAsia" w:cstheme="majorBidi"/>
          <w:sz w:val="16"/>
          <w:szCs w:val="16"/>
        </w:rPr>
      </w:pPr>
      <w:r w:rsidRPr="0046442A">
        <w:rPr>
          <w:rFonts w:eastAsiaTheme="majorEastAsia" w:cstheme="majorBidi"/>
          <w:sz w:val="16"/>
          <w:szCs w:val="16"/>
        </w:rPr>
        <w:t>La variación de la competitividad académica de la DES se muestra en la tabla 6 entre el año 2006 y 2010, en general ha habido un avance considerable en los distintos indicadores, aunque en el rubro de acreditación o de evaluación de Programas de Licenciatura tenemos un área de oportunidad que ya se está trabajando; debido a que los programas son de reciente creación no son susceptibles de ser evaluados hasta el 2010. En el caso de los posgrados se cuentan dos con el nivel de competencia internacional en el PNPC y un área de oportunidad en las especialidades médicas, mismas que ya se están atendiendo.</w:t>
      </w:r>
    </w:p>
    <w:p w:rsidR="0046442A" w:rsidRPr="0046442A" w:rsidRDefault="0046442A" w:rsidP="0046442A">
      <w:pPr>
        <w:pStyle w:val="Ttulo1"/>
        <w:rPr>
          <w:rFonts w:ascii="Trebuchet MS" w:hAnsi="Trebuchet MS"/>
          <w:b w:val="0"/>
          <w:color w:val="auto"/>
          <w:sz w:val="16"/>
          <w:szCs w:val="16"/>
        </w:rPr>
      </w:pPr>
      <w:r w:rsidRPr="0046442A">
        <w:rPr>
          <w:rFonts w:ascii="Trebuchet MS" w:hAnsi="Trebuchet MS"/>
          <w:b w:val="0"/>
          <w:color w:val="auto"/>
          <w:sz w:val="16"/>
          <w:szCs w:val="16"/>
        </w:rPr>
        <w:t>Análisis de brechas de capacidad y competitividad académica</w:t>
      </w:r>
      <w:bookmarkEnd w:id="1"/>
    </w:p>
    <w:p w:rsidR="0046442A" w:rsidRPr="0046442A" w:rsidRDefault="0046442A" w:rsidP="0046442A">
      <w:pPr>
        <w:ind w:firstLine="0"/>
        <w:rPr>
          <w:sz w:val="16"/>
          <w:szCs w:val="16"/>
        </w:rPr>
      </w:pPr>
      <w:r w:rsidRPr="0046442A">
        <w:rPr>
          <w:sz w:val="16"/>
          <w:szCs w:val="16"/>
        </w:rPr>
        <w:t>Las brechas de capacidad y competitividad académica se muestran en las gráficas 2 y 3, Ciencias e Ingenierías es el área más consolidada, los 4 cuerpos académicos que  pertenecen a esta División  son consolidados, dos de sus tres PE de Licenciatura están en el Nivel I de CIEES -el otro fue creado en enero de 2010- y sus dos programas de posgrado en el PNPC Nivel Internacional. Si analizamos los indicadores, observamos que tiene alta capacidad académica</w:t>
      </w:r>
      <w:proofErr w:type="gramStart"/>
      <w:r w:rsidRPr="0046442A">
        <w:rPr>
          <w:sz w:val="16"/>
          <w:szCs w:val="16"/>
        </w:rPr>
        <w:t>:100</w:t>
      </w:r>
      <w:proofErr w:type="gramEnd"/>
      <w:r w:rsidRPr="0046442A">
        <w:rPr>
          <w:sz w:val="16"/>
          <w:szCs w:val="16"/>
        </w:rPr>
        <w:t>% de sus PTC tienen posgrado, 90% están en el SNI -el 10% restante con méritos para ingresar pero son de reciente contratación- y 83% con perfil PROMEP (y el resto con méritos para obtenerlo). Tiene también alta competitividad académica; si quitamos el programa abierto en enero de 2010 el 100% de su matrícula, PE de Licenciatura y PE de posgrado son de calidad. Desafortunadamente solo el 6% de la matrícula de la DES (231 alumnos) pertenece a estos programas. El área de Ciencias de la Salud tiene el 74.8% de la matrícula con (2857 alumnos), pero baja capacidad académica: 92% de sus PTC tienen posgrado (</w:t>
      </w:r>
      <w:proofErr w:type="spellStart"/>
      <w:r w:rsidRPr="0046442A">
        <w:rPr>
          <w:sz w:val="16"/>
          <w:szCs w:val="16"/>
        </w:rPr>
        <w:t>Doctorado</w:t>
      </w:r>
      <w:proofErr w:type="gramStart"/>
      <w:r w:rsidRPr="0046442A">
        <w:rPr>
          <w:sz w:val="16"/>
          <w:szCs w:val="16"/>
        </w:rPr>
        <w:t>,Maestría</w:t>
      </w:r>
      <w:proofErr w:type="spellEnd"/>
      <w:proofErr w:type="gramEnd"/>
      <w:r w:rsidRPr="0046442A">
        <w:rPr>
          <w:sz w:val="16"/>
          <w:szCs w:val="16"/>
        </w:rPr>
        <w:t xml:space="preserve"> o Especialidad), 25% pertenecen al SNI y 30% tienen perfil PROMEP. Esto se refleja en el grado de consolidación de sus cuerpos académicos: 1 CAC, 2 CAEC y 14 CAEF. Su competitividad académica es mediana y desigual: 56% de su matrícula, 57% de sus PE de Licenciatura y 16% de sus PE de posgrado (incluyendo especialidades médicas) son de calidad, aunque el último indicador está afectado seriamente por las especialidades médicas. Las brechas internas en esta División se manifiestan en los programas de posgrado: cuenta con tres programas en el PNPC, dos de ellos consolidados pero un gran número de especialidades médicas (14) que no están en el PNPC. Por su parte, el área de Ciencias Sociales y Humanidades tiene una mediana capacidad académica pero con alta potencialidad de mejorar en el corto plazo: 97% de sus PTC tienen posgrado, 25% pertenecen al SNI y 45% tienen perfil PROMEP. Cabe señalar que el 31% de los PTC de esta área fue </w:t>
      </w:r>
      <w:proofErr w:type="gramStart"/>
      <w:r w:rsidRPr="0046442A">
        <w:rPr>
          <w:sz w:val="16"/>
          <w:szCs w:val="16"/>
        </w:rPr>
        <w:t>contratada</w:t>
      </w:r>
      <w:proofErr w:type="gramEnd"/>
      <w:r w:rsidRPr="0046442A">
        <w:rPr>
          <w:sz w:val="16"/>
          <w:szCs w:val="16"/>
        </w:rPr>
        <w:t xml:space="preserve"> en diciembre de 2009 y tienen alto perfil aunque aún no han aplicado al PROMEP ni al SNI. Esta área se conformó con PTC provenientes de unidades académicas previamente desvinculadas, lo que origino la necesidad de re-conformación de sus 3 </w:t>
      </w:r>
      <w:proofErr w:type="spellStart"/>
      <w:r w:rsidRPr="0046442A">
        <w:rPr>
          <w:sz w:val="16"/>
          <w:szCs w:val="16"/>
        </w:rPr>
        <w:t>CA´s</w:t>
      </w:r>
      <w:proofErr w:type="spellEnd"/>
      <w:r w:rsidRPr="0046442A">
        <w:rPr>
          <w:sz w:val="16"/>
          <w:szCs w:val="16"/>
        </w:rPr>
        <w:t xml:space="preserve"> que fueron clasificados como CAEF en la última convocatoria. La competitividad académica de esta área es muy baja debido a que sus 6 programas académicos son de reciente creación, uno de ellos aún no tiene egresados –creado en 2006-y los restantes cinco fueron creados en 2004 y serán  susceptibles de ser evaluados hasta este año. A estos programas pertenece el 19% de la matrícula de la DES. No existen programas de posgrado en esta área aunque ya están terminados los documentos con las propuestas de creación de 2 Maestrías y 2 </w:t>
      </w:r>
      <w:r w:rsidRPr="0046442A">
        <w:rPr>
          <w:sz w:val="16"/>
          <w:szCs w:val="16"/>
        </w:rPr>
        <w:lastRenderedPageBreak/>
        <w:t>Doctorados para su aprobación por órganos colegiados e inicio en agosto de 2010. Existe escasa movilidad en algunos programas.</w:t>
      </w:r>
    </w:p>
    <w:p w:rsidR="00E021B2" w:rsidRDefault="00E021B2" w:rsidP="0046442A">
      <w:pPr>
        <w:rPr>
          <w:sz w:val="16"/>
          <w:szCs w:val="16"/>
        </w:rPr>
      </w:pPr>
    </w:p>
    <w:p w:rsidR="005663D0" w:rsidRPr="0046442A" w:rsidRDefault="00E021B2" w:rsidP="0046442A">
      <w:pPr>
        <w:rPr>
          <w:sz w:val="16"/>
          <w:szCs w:val="16"/>
        </w:rPr>
      </w:pPr>
      <w:r>
        <w:rPr>
          <w:sz w:val="16"/>
          <w:szCs w:val="16"/>
        </w:rPr>
        <w:t>Análisis de la relación entre capacidad y competitividad académicas</w:t>
      </w:r>
    </w:p>
    <w:p w:rsidR="00E021B2" w:rsidRDefault="00E021B2" w:rsidP="00E021B2">
      <w:pPr>
        <w:ind w:firstLine="0"/>
        <w:rPr>
          <w:b/>
          <w:sz w:val="16"/>
          <w:szCs w:val="16"/>
        </w:rPr>
      </w:pPr>
    </w:p>
    <w:p w:rsidR="00E021B2" w:rsidRPr="00E021B2" w:rsidRDefault="00E021B2" w:rsidP="00E021B2">
      <w:pPr>
        <w:ind w:firstLine="0"/>
        <w:rPr>
          <w:sz w:val="16"/>
          <w:szCs w:val="16"/>
        </w:rPr>
      </w:pPr>
      <w:r w:rsidRPr="00EE5AF4">
        <w:rPr>
          <w:sz w:val="16"/>
          <w:szCs w:val="16"/>
        </w:rPr>
        <w:t xml:space="preserve">El análisis de la capacidad y competitividad académicas se </w:t>
      </w:r>
      <w:r w:rsidR="00EE5AF4" w:rsidRPr="00EE5AF4">
        <w:rPr>
          <w:sz w:val="16"/>
          <w:szCs w:val="16"/>
        </w:rPr>
        <w:t xml:space="preserve">evidencia en la oferta educativa de calidad ya que  el </w:t>
      </w:r>
      <w:r w:rsidRPr="00EE5AF4">
        <w:rPr>
          <w:sz w:val="16"/>
          <w:szCs w:val="16"/>
        </w:rPr>
        <w:t xml:space="preserve"> 62% de la matrícula de licenciatura, 85% de la de maestría y 97% de la de doctorado se encuentra en programas certificados por su calidad (CIEES Nivel 1, COPAES, PNPC). Cinco de los quince programas de licenciatura de la DES cuentan con certificación nivel I de los Comités Interinstitucionales de Evaluación de la Educación Superior (CIEES), y cinco de los siete programas de posgrado </w:t>
      </w:r>
      <w:r w:rsidRPr="00EE5AF4">
        <w:rPr>
          <w:sz w:val="16"/>
          <w:szCs w:val="16"/>
        </w:rPr>
        <w:noBreakHyphen/>
        <w:t>sin considerar las catorce especialidades médicas- están inscritos en el Programa Nacional de Posgrados de Calidad (PNPC) SEP-</w:t>
      </w:r>
      <w:proofErr w:type="spellStart"/>
      <w:r w:rsidRPr="00EE5AF4">
        <w:rPr>
          <w:sz w:val="16"/>
          <w:szCs w:val="16"/>
        </w:rPr>
        <w:t>CONACyT</w:t>
      </w:r>
      <w:proofErr w:type="spellEnd"/>
      <w:r w:rsidRPr="00EE5AF4">
        <w:rPr>
          <w:sz w:val="16"/>
          <w:szCs w:val="16"/>
        </w:rPr>
        <w:t>, dos de ellos con el reconocimiento</w:t>
      </w:r>
      <w:r w:rsidRPr="00E021B2">
        <w:rPr>
          <w:sz w:val="16"/>
          <w:szCs w:val="16"/>
        </w:rPr>
        <w:t xml:space="preserve"> de nivel de Competencia Internacional. En estos programas se ha dado seguimiento a las recomendaciones de los órganos acreditadores o evaluadores.</w:t>
      </w:r>
    </w:p>
    <w:p w:rsidR="0046442A" w:rsidRPr="0046442A" w:rsidRDefault="00EE5AF4" w:rsidP="00E021B2">
      <w:pPr>
        <w:ind w:firstLine="0"/>
        <w:rPr>
          <w:sz w:val="16"/>
          <w:szCs w:val="16"/>
        </w:rPr>
      </w:pPr>
      <w:r w:rsidRPr="00EE5AF4">
        <w:rPr>
          <w:sz w:val="16"/>
          <w:szCs w:val="16"/>
        </w:rPr>
        <w:t>Además l</w:t>
      </w:r>
      <w:r w:rsidR="00E021B2" w:rsidRPr="00EE5AF4">
        <w:rPr>
          <w:sz w:val="16"/>
          <w:szCs w:val="16"/>
        </w:rPr>
        <w:t>a DES</w:t>
      </w:r>
      <w:r w:rsidR="00E021B2" w:rsidRPr="00D65D5E">
        <w:rPr>
          <w:sz w:val="16"/>
          <w:szCs w:val="16"/>
        </w:rPr>
        <w:t xml:space="preserve"> cuenta con poco más de la quinta parte de los profesores de tiempo completo de la institución. En Abril 2010 se cuenta con 171 PTC, 94 (55%) con doctorado, 51 (30%) con Maestría, 16 (9%) con Especialidad y 10 (6%) con Licenciatura. Se cuenta con 62 PTC (36%) en el Sistema Nacional de Investigadores (SNI); 12 en el nivel de candidato, 34 en el nivel I, 12 en el nivel II y 4 en el nivel III. El 39% de nuestros PTC tienen perfil deseable PROMEP. Los PTC están distribuidos en 24 Cuerpos Académicos, cinco de ellos consolidados, dos en consolidación y 17 en formación. Dado que 3 de cada 4 estudiantes están inscritos en la DCS y los programas que ésta oferta son científico-prácticos, se requiere un importante número de profesores con experiencia en el ámbito profesional. La mayor parte de los profesores que tienen Maestría o Especialidad como máxima habilitación se encuentran en el área de salud, 47 y 16 PTC respectivamente</w:t>
      </w:r>
    </w:p>
    <w:sectPr w:rsidR="0046442A" w:rsidRPr="0046442A" w:rsidSect="00F61F0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865C0"/>
    <w:multiLevelType w:val="hybridMultilevel"/>
    <w:tmpl w:val="A2A4011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2DBC"/>
    <w:rsid w:val="00002DBC"/>
    <w:rsid w:val="000D68DC"/>
    <w:rsid w:val="0046442A"/>
    <w:rsid w:val="004A38F6"/>
    <w:rsid w:val="00984C87"/>
    <w:rsid w:val="00C54319"/>
    <w:rsid w:val="00DA49CC"/>
    <w:rsid w:val="00E021B2"/>
    <w:rsid w:val="00EE5AF4"/>
    <w:rsid w:val="00F61F0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42A"/>
    <w:pPr>
      <w:spacing w:before="120" w:after="0" w:line="240" w:lineRule="auto"/>
      <w:ind w:firstLine="357"/>
      <w:jc w:val="both"/>
    </w:pPr>
    <w:rPr>
      <w:rFonts w:ascii="Trebuchet MS" w:eastAsiaTheme="minorEastAsia" w:hAnsi="Trebuchet MS"/>
      <w:sz w:val="20"/>
      <w:lang w:bidi="en-US"/>
    </w:rPr>
  </w:style>
  <w:style w:type="paragraph" w:styleId="Ttulo1">
    <w:name w:val="heading 1"/>
    <w:basedOn w:val="Normal"/>
    <w:next w:val="Normal"/>
    <w:link w:val="Ttulo1Car"/>
    <w:uiPriority w:val="9"/>
    <w:qFormat/>
    <w:rsid w:val="00464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6442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6442A"/>
    <w:rPr>
      <w:rFonts w:asciiTheme="majorHAnsi" w:eastAsiaTheme="majorEastAsia" w:hAnsiTheme="majorHAnsi" w:cstheme="majorBidi"/>
      <w:b/>
      <w:bCs/>
      <w:color w:val="4F81BD" w:themeColor="accent1"/>
      <w:sz w:val="26"/>
      <w:szCs w:val="26"/>
      <w:lang w:bidi="en-US"/>
    </w:rPr>
  </w:style>
  <w:style w:type="character" w:customStyle="1" w:styleId="Ttulo1Car">
    <w:name w:val="Título 1 Car"/>
    <w:basedOn w:val="Fuentedeprrafopredeter"/>
    <w:link w:val="Ttulo1"/>
    <w:uiPriority w:val="9"/>
    <w:rsid w:val="0046442A"/>
    <w:rPr>
      <w:rFonts w:asciiTheme="majorHAnsi" w:eastAsiaTheme="majorEastAsia" w:hAnsiTheme="majorHAnsi" w:cstheme="majorBidi"/>
      <w:b/>
      <w:bCs/>
      <w:color w:val="365F91" w:themeColor="accent1" w:themeShade="BF"/>
      <w:sz w:val="28"/>
      <w:szCs w:val="28"/>
      <w:lang w:bidi="en-US"/>
    </w:rPr>
  </w:style>
  <w:style w:type="paragraph" w:styleId="Prrafodelista">
    <w:name w:val="List Paragraph"/>
    <w:basedOn w:val="Normal"/>
    <w:uiPriority w:val="34"/>
    <w:qFormat/>
    <w:rsid w:val="00E021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1127</Words>
  <Characters>6203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Rectoria</dc:creator>
  <cp:lastModifiedBy>Tere</cp:lastModifiedBy>
  <cp:revision>2</cp:revision>
  <dcterms:created xsi:type="dcterms:W3CDTF">2010-05-06T20:37:00Z</dcterms:created>
  <dcterms:modified xsi:type="dcterms:W3CDTF">2010-05-06T20:37:00Z</dcterms:modified>
</cp:coreProperties>
</file>